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B2" w:rsidRPr="00B504B2" w:rsidRDefault="00B504B2" w:rsidP="00B504B2">
      <w:pPr>
        <w:keepNext/>
        <w:keepLines/>
        <w:numPr>
          <w:ilvl w:val="0"/>
          <w:numId w:val="2"/>
        </w:numPr>
        <w:spacing w:before="200" w:after="0" w:line="360" w:lineRule="exact"/>
        <w:jc w:val="left"/>
        <w:outlineLvl w:val="1"/>
        <w:rPr>
          <w:rFonts w:asciiTheme="majorHAnsi" w:eastAsiaTheme="majorEastAsia" w:hAnsiTheme="majorHAnsi" w:cstheme="majorBidi"/>
          <w:b/>
          <w:bCs/>
          <w:color w:val="4F81BD" w:themeColor="accent1"/>
          <w:lang w:eastAsia="ru-RU"/>
        </w:rPr>
      </w:pPr>
      <w:bookmarkStart w:id="0" w:name="_Toc386632358"/>
      <w:bookmarkStart w:id="1" w:name="_Toc479276153"/>
      <w:bookmarkStart w:id="2" w:name="_GoBack"/>
      <w:bookmarkEnd w:id="2"/>
      <w:r w:rsidRPr="00B504B2">
        <w:rPr>
          <w:rFonts w:asciiTheme="majorHAnsi" w:eastAsiaTheme="majorEastAsia" w:hAnsiTheme="majorHAnsi" w:cstheme="majorBidi"/>
          <w:b/>
          <w:bCs/>
          <w:color w:val="4F81BD" w:themeColor="accent1"/>
          <w:lang w:eastAsia="ru-RU"/>
        </w:rPr>
        <w:t xml:space="preserve">Краткая характеристика вариантов </w:t>
      </w:r>
      <w:bookmarkEnd w:id="0"/>
      <w:r w:rsidRPr="00B504B2">
        <w:rPr>
          <w:rFonts w:asciiTheme="majorHAnsi" w:eastAsiaTheme="majorEastAsia" w:hAnsiTheme="majorHAnsi" w:cstheme="majorBidi"/>
          <w:b/>
          <w:bCs/>
          <w:color w:val="4F81BD" w:themeColor="accent1"/>
          <w:lang w:eastAsia="ru-RU"/>
        </w:rPr>
        <w:t>прогноза</w:t>
      </w:r>
      <w:bookmarkEnd w:id="1"/>
    </w:p>
    <w:p w:rsidR="00B504B2" w:rsidRPr="00B504B2" w:rsidRDefault="00B504B2" w:rsidP="00B504B2">
      <w:pPr>
        <w:spacing w:after="0" w:line="360" w:lineRule="exact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 xml:space="preserve">Прогноз сценарных условий и основных макроэкономических параметров социально-экономического развития Российской Федерации на 2018 – 2020 гг. разработан в составе трех основных вариантов – базового, консервативного и целевого. 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 xml:space="preserve">Прогноз основан на предпосылке о постепенном замедлении мирового экономического роста с 3,2 % в 2016 году до 2,8 % к 2020 году, что обусловлено ожиданием замедления темпов экономического роста как в развитых, так  и  в  развивающихся странах. 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 развитых странах на уровне экономической активности будет сказываться с  одной стороны – замедление потенциального роста (на фоне неблагоприятной демографической ситуации – старения населения и увеличения численности населения выше трудоспособного возраста), а с другой – исчерпание возможностей посткризисного восстановительного роста.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Так, в США период посткризисного восстановления практически завершился: уровень безработицы снизился до уровней, наблюдавшихся в период до мирового финансового кризиса 2008 – 2009 годов, индикаторы инфляционного давления вплотную приблизились к целевому значению 2 процента. Описанная ситуация отражается на  денежно-кредитной политике ФРС США, которая, по собственным оценкам, планирует повысить целевой уровень процентной ставки по федеральным фондам еще дважды до конца 2017 года. По оценке Минэкономразвития России, ужесточение денежно-кредитной политики ФРС США в текущем году может оказаться более существенным. Кроме того, в последующие три года денежно-кредитная политика в  США будет направлена на нейтрализацию воздействия на инфляционные ожидания фискального стимула в случае его реализации. Таким образом, в базовом сценарии прогнозируется замедление темпов роста экономики США с 2,0 % в текущем году        до 1–1,5 % в последующие три года.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 Еврозоне восстановительный рост сохранится в текущем и следующем годах, однако по мере приближения к полной занятости темпы роста замедлятся до 0,5 % в  2019 – 2020 годах в силу действия структурных ограничений.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Значимый вклад в замедление мирового экономического роста внесет охлаждение экономической активности в китайской экономике, что будет связано с необходимостью структурной перестройки из-за исчерпания инвестиционно-ориентированной модели роста в условиях значительного перенакопления капитала в инфраструктурном секторе. По оценкам Минэкономразвития России, темпы роста ВВП Китая замедлятся с 6,6 % в  2016 году до 5,5 % к 2020 году.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Кроме того, Минэкономразвития России закладывает сохранение действия финансовых и экономических санкций в отношении российской экономики, а также ответных мер на протяжении всего прогнозного периода.</w:t>
      </w:r>
    </w:p>
    <w:p w:rsidR="00B504B2" w:rsidRPr="00B504B2" w:rsidRDefault="00B504B2" w:rsidP="00B504B2">
      <w:pPr>
        <w:spacing w:after="0" w:line="360" w:lineRule="exact"/>
        <w:ind w:firstLine="709"/>
        <w:rPr>
          <w:rFonts w:ascii="Calibri" w:eastAsia="Times New Roman" w:hAnsi="Calibri"/>
          <w:color w:val="1F497D"/>
          <w:sz w:val="22"/>
          <w:szCs w:val="22"/>
        </w:rPr>
      </w:pPr>
      <w:r w:rsidRPr="00B504B2">
        <w:rPr>
          <w:rFonts w:eastAsia="Times New Roman"/>
          <w:lang w:eastAsia="ru-RU"/>
        </w:rPr>
        <w:lastRenderedPageBreak/>
        <w:t>Прогноз ситуации на рынке энергоносителей традиционно основан на  консервативных предпосылках и базируется на имеющихся на момент разработки прогноза договоренностях. Таким образом, в текущем прогнозе социально-экономического развития ожидается завершение действия соглашения о заморозке добычи нефти в июне 2017 года. Возврат объемов добычи ОПЕК к максимальным уровням после вероятного непродления соглашения о заморозке добычи ведущими производителями, сохранение коммерческих запасов нефти и нефтепродуктов в США на  исторических максимумах, а также наращивание добычи американской сланцевой нефти станут причиной снижения цен на нефть марки «Юралс» до 40 долларов США за  баррель к концу текущего года.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Указанный уровень цен на нефть оценивается Минэкономразвития России как равновесный (обеспечивающий баланс спроса и предложения) и в дальнейшем прогнозируется сохранение цены на нефть марки «Юралс» на уровне 40 долларов США за баррель в ценах 2017 года.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При разработке целевого варианта развития российской экономики Минэкономразвития России исходил из аналогичных внешнеэкономических предпосылок. В консервативный вариант прогноза была заложена предпосылка о более существенном замедлении мирового экономического роста, что в первую очередь будет связано с «жесткой посадкой» экономики Китая, спровоцированной схлопыванием пузырей на рынках финансовых и нефинансовых активов. В этих условиях, как ожидается, цена на нефть марки «Юралс» опустится до уровня 35 долларов США за  баррель к концу текущего года и сохранится на этом уровне до конца прогнозного периода.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Действие соглашения об ограничении добычи нефти в течение первого полугодия текущего года, по оценке Минэкономразвития России, ограничит объем добываемой нефти уровнем предыдущего года (549 млн. тонн). В дальнейшем в прогноз закладывается объем добычи нефти на  уровне 553 млн. тонн в год в 2018 – 2020 годах. Одновременно прогнозируется снижение поставок нефти на внутренний рынок (с учетом обеспеченности внутреннего рынка и повышения глубины переработки) и рост экспорта нефти (с учетом привлекательности экспорта нефти, снижения первичной переработки нефти и  увеличения глубины ее переработки из-за принятого «налогового маневра»). Аналогичные предпосылки заложены и в консервативный сценарий развития российской экономики.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 целевом варианте прогноза развития российской экономики с учетом создания условий для интенсификации инвестиционной деятельности (в том числе в  добывающей отрасли) ожидается некоторое увеличение добычи нефти за счет внедрения новых передовых технологий и ввода новых месторождений, расположенных в удаленных регионах со сложными условиями. В результате объем добычи нефти в  целевом сценарии будет составлять 556 млн. тонн в год в 2018 – 2020 годах.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lastRenderedPageBreak/>
        <w:t>Важными факторами, оказывающими воздействие на развитие ситуации в</w:t>
      </w:r>
      <w:r w:rsidRPr="00B504B2">
        <w:rPr>
          <w:rFonts w:eastAsia="Times New Roman"/>
          <w:sz w:val="24"/>
          <w:szCs w:val="24"/>
          <w:lang w:eastAsia="ru-RU"/>
        </w:rPr>
        <w:t> </w:t>
      </w:r>
      <w:r w:rsidRPr="00B504B2">
        <w:rPr>
          <w:rFonts w:eastAsia="Times New Roman"/>
          <w:lang w:eastAsia="ru-RU"/>
        </w:rPr>
        <w:t xml:space="preserve"> российской экономике, на прогнозном горизонте будут оставаться основополагающие принципы бюджетной и денежно-кредитной политики. </w:t>
      </w:r>
    </w:p>
    <w:p w:rsidR="00027243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Во все три сценария прогноза заложена реализация бюджетной политики в</w:t>
      </w:r>
      <w:r w:rsidRPr="00B504B2">
        <w:rPr>
          <w:rFonts w:eastAsia="Times New Roman"/>
          <w:sz w:val="24"/>
          <w:szCs w:val="24"/>
          <w:lang w:eastAsia="ru-RU"/>
        </w:rPr>
        <w:t> </w:t>
      </w:r>
      <w:r w:rsidRPr="00B504B2">
        <w:rPr>
          <w:rFonts w:eastAsia="Times New Roman"/>
          <w:lang w:eastAsia="ru-RU"/>
        </w:rPr>
        <w:t xml:space="preserve"> соответствии с переходными положениями модифицированных бюджетных правил с  фиксацией базовой цены нефти марки «Юралс» на уровне 40 долларов США за  баррель в реальном выражении (в ценах 2017 года). Таким образом, сценарии прогноза предполагают взаимоувязку первичных расходов федерального бюджета с</w:t>
      </w:r>
      <w:r w:rsidRPr="00B504B2">
        <w:rPr>
          <w:rFonts w:eastAsia="Times New Roman"/>
          <w:sz w:val="24"/>
          <w:szCs w:val="24"/>
          <w:lang w:eastAsia="ru-RU"/>
        </w:rPr>
        <w:t> </w:t>
      </w:r>
      <w:r w:rsidRPr="00B504B2">
        <w:rPr>
          <w:rFonts w:eastAsia="Times New Roman"/>
          <w:lang w:eastAsia="ru-RU"/>
        </w:rPr>
        <w:t xml:space="preserve"> уровнем нефтегазовых доходов, рассчита</w:t>
      </w:r>
      <w:r w:rsidR="00027243">
        <w:rPr>
          <w:rFonts w:eastAsia="Times New Roman"/>
          <w:lang w:eastAsia="ru-RU"/>
        </w:rPr>
        <w:t>нным при базовой цене на нефть.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Кроме того, реализация бюджетной политики в соответствии с переходными положениями «модифицированных бюджетных правил» предполагает осуществление Минфином России операций по покупке иностранной валюты на внутреннем валютном рынке в объеме дополнительных нефтегазовых доходов федерального бюджета, полученных в результате превышения фактической ценой нефти марки «Юралс» уровня 40 долларов США за баррель (в реальном выражении). По оценкам Минэкономразвития России, объем покупок иностранной валюты Минфином России составит в 2017 году около 13  млрд. долларов США. В дальнейшем сальдо операций Минфина России прогнозируется нулевым при нахождении прогнозной цены на нефть марки «Юралс» на  базовом уровне.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Проведение Минфином России операций по покупке иностранной валюты в  объеме дополнительных нефтегазовых доходов в текущем году позволит в  значительной степени нивелировать воздействие более высоких (по сравнению с  базовым уровнем) цен на нефть на динамику обменного курса рубля. При этом Минэкономразвития России закладывает в базовый и целевой сценарии прогноза ослабление рубля (до 68,0 рубля за доллар к концу текущего года) по мере исчерпания разовых факторов начала года, действующих на курс рубля в сторону укрепления, «нормализации» потоков капитала в страны с формирующимися рынками и снижения цен на нефть до 40 долларов США за баррель. В дальнейшем при стабилизации условий торговли в базовом варианте прогноза ожидается стабилизация реального эффективного курса рубля и, соответственно, номинальное ослабление рубля темпами, определяемыми инфляционным дифференциалом с торговыми партнерами. В целевом варианте ожидается умеренное укрепление рубля в реальном выражении, обусловленное ростом дифференциала производительностей (эффект Балассы-Самуэльсона).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 xml:space="preserve">В консервативном варианте в 2017 – 2020 годах закладывается более существенное ослабление рубля при снижении цен на нефть до 35 долларов США за баррель к концу 2017 года и продолжении снижения цен на нефть в реальном выражении в течение   2018 – 2020 годов. В течение 2017 года тренд на ослабление рубля в результате снижения цен на нефть будет несколько смягчен продажами иностранной валюты Минфина России, в результате чего изменение валютных </w:t>
      </w:r>
      <w:r w:rsidRPr="00B504B2">
        <w:rPr>
          <w:rFonts w:eastAsia="Times New Roman"/>
          <w:lang w:eastAsia="ru-RU"/>
        </w:rPr>
        <w:lastRenderedPageBreak/>
        <w:t>резервов в 2017 году в этом варианте прогноза будет нулевым. В последующие годы продажи валюты Минфином России не  прогнозируются.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Во всех трех сценариях экономического развития также предполагается продолжение реализации денежно-кредитной политики в рамках режима инфляционного таргетирования, что предполагает стремление Банка России обеспечить нахождение инфляции вблизи целевого уровня 4 %, а также приверженность принципам свободного курсообразования. «Заякоривание» инфляционных ожиданий экономических агентов на целевом уровне при одновременном снижении зависимости как реального, так и номинального обменного курса рубля от колебаний цен на нефть создадут возможности для постепенного снижения ключевой ставки Банком России и  закрепления долгосрочных процентных ставок на низком уровне.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Важной частью общей макроэкономической политики также является тарифное регулирование. Ограничение темпов роста тарифов естественных монополий уровнем инфляции в среднесрочной перспективе будет оставаться структурным фактором снижения инфляционного давления, повышения инвестиционной активности частного сектора (в силу снижения издержек и высвобождения ресурсов), а также призвано стимулировать повышение эффективности компаний инфраструктурного сектора.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Таким образом, реализация последовательной и согласованной макроэкономической политики будет обеспечивать стабильность основных макроэкономических параметров – выпуска, инфляции, реального эффективного курса рубля и долгосрочных процентных ставок – на прогнозном горизонте.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 описанных внешне- и внутриэкономических условиях в базовом и целевом сценариях прогнозируется рост ВВП на уровне 2 % в 2017 году. Этот рост будет носить восстановительный характер и затронет широкий спектр секторов экономики. Если в  2015 – 2016 годах положительные темпы роста выпуска наблюдались только в  торгуемых секторах экономики, получивших конкурентные преимущества от  ослабления рубля, то в 2017 году рост затронет и неторгуемые секторы благодаря восстановлению внутреннего спроса. Таким образом, будет наблюдаться конвергенция темпов роста в торгуемых и неторгуемых секторах.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По оценкам Минэкономразвития России, расходы домашних хозяйств на конечное потребление возрастут в текущем году на 1,6 процента. Это будет обусловлено положительной динамикой доходов населения в реальном выражении. Как ожидается, продолжится наметившийся в прошлом году рост реальной заработной платы (на 1,3 % в 2017 году после 0,7 % в 2016 году). Кроме того, поддержку доходам населения окажут и социальные трансферты – важную роль здесь сыграет единовременная выплата пенсионерам. Положительная динамика доходов населения наряду с ожидаемым оживлением потребительского кредитования окажет поддержку обороту розничной торговли (прогнозируется рост на 1,9 % в</w:t>
      </w:r>
      <w:r w:rsidR="00027243">
        <w:rPr>
          <w:rFonts w:eastAsia="Times New Roman"/>
          <w:lang w:eastAsia="ru-RU"/>
        </w:rPr>
        <w:t xml:space="preserve"> 2017 году после снижения на 4,6</w:t>
      </w:r>
      <w:r w:rsidRPr="00B504B2">
        <w:rPr>
          <w:rFonts w:eastAsia="Times New Roman"/>
          <w:lang w:eastAsia="ru-RU"/>
        </w:rPr>
        <w:t xml:space="preserve"> % в 2016 году) и сектору услуг.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lastRenderedPageBreak/>
        <w:t xml:space="preserve">Одновременно в 2017 году ожидается повышение инвестиционной активности: снижение общего уровня экономической неопределенности в условиях значительного объема накопленных собственных ресурсов (рост прибыли </w:t>
      </w:r>
      <w:r w:rsidRPr="00B504B2">
        <w:rPr>
          <w:rFonts w:eastAsia="Calibri"/>
          <w:color w:val="000000"/>
          <w:lang w:eastAsia="ru-RU"/>
        </w:rPr>
        <w:t>в 2015 году составил 17,6 %, в 2016 году – 17,3 процента</w:t>
      </w:r>
      <w:r w:rsidRPr="00B504B2">
        <w:rPr>
          <w:rFonts w:eastAsia="Times New Roman"/>
          <w:lang w:eastAsia="ru-RU"/>
        </w:rPr>
        <w:t>). По оценке Минэкономразвития России, инвестиции в  основной капитал вырастут на 2,0 % в 2017 году. Восстановление инвестиционного спроса поддержит выпуск в инвестиционно-ориентированных отраслях (таких как производство машин и оборудования, производство транспортных средств, производство прочих неметаллических изделий).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 консервативном варианте прогноза ожидается, что темп роста ВВП не превысит 0,2 % в 2017 году, однако все же останется положительным. Более низкие темпы экономического роста по сравнению с базовым и целевым сценариями будут обусловлены не только снижением доходов от экспортной деятельности, но  и  ухудшением настроений экономических агентов и формированием дополнительного оттока капитала, что в первую очередь скажется на инвестиционной активности.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Что касается инфляционной динамики, то в базовом и целевом вариантах прогноза в 2017 году прогнозируется дальнейшее замедление годовых темпов инфляции с текущих значений (4,3 % г/г в марте). Ожидается, что инфляция достигнет целевого уровня в мае-июне, а в декабре 2017 года составит 3,8 процента. Прогнозируемое снижение инфляции ниже цели обусловлено разовым фактором – масштабным укреплением рубля в начале 2017 года. В 2018 – 2020 годах инфляция прогнозируется на целевом уровне – как в базовом, так и в целевом сценарии.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В консервативном варианте прогноза на фоне более заметного ослабления рубля, с  одной стороны, и более низких темпов экономического роста, с другой, прогнозируется, что инфляция в конце 2017 года составит 4,1 %, в 2018 году – повысится до уровня 4,3  % на конец года, а с 2019 года – закрепится на целевом уровне.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После завершения периода восстановительного экономического роста в базовом варианте прогноза ожидается снижение темпов роста ВВП до уровня, соответствующего потенциальным темпам экономического роста (около 1,5 процента). В консервативном варианте ожидается, что темп роста ВВП приблизится к указанному уровню в 2020 году.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Низкие темпы роста потенциального выпуска обусловлены существующими в  российской экономике ограничениями на факторы производства, которые касаются как трудовых ресурсов в силу неблагоприятной демографической ситуации, так  и  капитальных ресурсов (в силу недостаточного для необходимой модернизации объема и качества инвестиций в основной капитал).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 xml:space="preserve">На устранение указанных ограничений для экономического роста направлены меры, разрабатываемые в рамках подготовки Комплексного плана действий Правительства. 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lastRenderedPageBreak/>
        <w:t xml:space="preserve">Таким образом, структурные меры, заложенные в целевой вариант прогноза, должны обеспечить: </w:t>
      </w:r>
    </w:p>
    <w:p w:rsidR="00B504B2" w:rsidRPr="00B504B2" w:rsidRDefault="00B504B2" w:rsidP="00B504B2">
      <w:pPr>
        <w:numPr>
          <w:ilvl w:val="0"/>
          <w:numId w:val="1"/>
        </w:numPr>
        <w:spacing w:before="120" w:after="0" w:line="276" w:lineRule="auto"/>
        <w:jc w:val="left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Рост численности занятых в экономике (за счет повышения экономической активности населения, роста мобильности на рынке труда, снижения уровня структурной безработицы, роста продолжительности активной жизни).</w:t>
      </w:r>
    </w:p>
    <w:p w:rsidR="00B504B2" w:rsidRPr="00B504B2" w:rsidRDefault="00B504B2" w:rsidP="00B504B2">
      <w:pPr>
        <w:numPr>
          <w:ilvl w:val="0"/>
          <w:numId w:val="1"/>
        </w:numPr>
        <w:spacing w:before="120" w:after="0" w:line="276" w:lineRule="auto"/>
        <w:jc w:val="left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Рост инвестиционной активности:</w:t>
      </w:r>
    </w:p>
    <w:p w:rsidR="00B504B2" w:rsidRPr="00B504B2" w:rsidRDefault="00B504B2" w:rsidP="00B504B2">
      <w:pPr>
        <w:numPr>
          <w:ilvl w:val="1"/>
          <w:numId w:val="1"/>
        </w:numPr>
        <w:spacing w:before="120" w:after="0" w:line="276" w:lineRule="auto"/>
        <w:jc w:val="left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с помощью создания предсказуемых условий ведения бизнеса на макро- и микроуровне</w:t>
      </w:r>
    </w:p>
    <w:p w:rsidR="00B504B2" w:rsidRPr="00B504B2" w:rsidRDefault="00B504B2" w:rsidP="00B504B2">
      <w:pPr>
        <w:numPr>
          <w:ilvl w:val="1"/>
          <w:numId w:val="1"/>
        </w:numPr>
        <w:spacing w:before="120" w:after="0" w:line="276" w:lineRule="auto"/>
        <w:jc w:val="left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посредством улучшения делового климата, трансформации налоговой системы, системы поддержки экспорта</w:t>
      </w:r>
    </w:p>
    <w:p w:rsidR="00B504B2" w:rsidRPr="00B504B2" w:rsidRDefault="00B504B2" w:rsidP="00B504B2">
      <w:pPr>
        <w:numPr>
          <w:ilvl w:val="1"/>
          <w:numId w:val="1"/>
        </w:numPr>
        <w:spacing w:before="120" w:after="0" w:line="276" w:lineRule="auto"/>
        <w:jc w:val="left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развития института проектного финансирования, обеспечивающего сопровождение проекта на всех стадиях – от разработки до правильного структурирования финансирования и последующего процесса реализации.</w:t>
      </w:r>
    </w:p>
    <w:p w:rsidR="00B504B2" w:rsidRPr="00B504B2" w:rsidRDefault="00B504B2" w:rsidP="00B504B2">
      <w:pPr>
        <w:numPr>
          <w:ilvl w:val="0"/>
          <w:numId w:val="1"/>
        </w:numPr>
        <w:spacing w:before="120" w:after="0" w:line="276" w:lineRule="auto"/>
        <w:jc w:val="left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Рост производительности труда (посредством реализации приоритетного проекта по повышению производительности труда, улучшения качества человеческого капитала через модернизацию системы образования и повышения квалификации).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  <w:r w:rsidRPr="00B504B2">
        <w:rPr>
          <w:rFonts w:eastAsia="Times New Roman"/>
          <w:lang w:eastAsia="ru-RU"/>
        </w:rPr>
        <w:t>Предлагаемый комплекс структурных мер должен обеспечить ускорение темпов экономического роста до 3,1 % в 2020 году при существенном росте доли инвестиций в основной капитал, что позволит создать условия для устойчивого экономического роста в будущем.</w:t>
      </w:r>
    </w:p>
    <w:p w:rsidR="00B504B2" w:rsidRPr="00B504B2" w:rsidRDefault="00B504B2" w:rsidP="00B504B2">
      <w:pPr>
        <w:spacing w:after="0" w:line="276" w:lineRule="auto"/>
        <w:ind w:firstLine="709"/>
        <w:rPr>
          <w:rFonts w:eastAsia="Times New Roman"/>
          <w:lang w:eastAsia="ru-RU"/>
        </w:rPr>
      </w:pPr>
    </w:p>
    <w:p w:rsidR="00B504B2" w:rsidRPr="00B504B2" w:rsidRDefault="00B504B2" w:rsidP="00B504B2">
      <w:pPr>
        <w:spacing w:line="276" w:lineRule="auto"/>
        <w:jc w:val="left"/>
        <w:rPr>
          <w:rFonts w:eastAsia="Times New Roman"/>
          <w:lang w:eastAsia="ru-RU"/>
        </w:rPr>
      </w:pPr>
    </w:p>
    <w:sectPr w:rsidR="00B504B2" w:rsidRPr="00B504B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74D" w:rsidRDefault="0084574D" w:rsidP="00027243">
      <w:pPr>
        <w:spacing w:after="0"/>
      </w:pPr>
      <w:r>
        <w:separator/>
      </w:r>
    </w:p>
  </w:endnote>
  <w:endnote w:type="continuationSeparator" w:id="0">
    <w:p w:rsidR="0084574D" w:rsidRDefault="0084574D" w:rsidP="00027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74D" w:rsidRDefault="0084574D" w:rsidP="00027243">
      <w:pPr>
        <w:spacing w:after="0"/>
      </w:pPr>
      <w:r>
        <w:separator/>
      </w:r>
    </w:p>
  </w:footnote>
  <w:footnote w:type="continuationSeparator" w:id="0">
    <w:p w:rsidR="0084574D" w:rsidRDefault="0084574D" w:rsidP="00027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1318738"/>
      <w:docPartObj>
        <w:docPartGallery w:val="Page Numbers (Top of Page)"/>
        <w:docPartUnique/>
      </w:docPartObj>
    </w:sdtPr>
    <w:sdtEndPr/>
    <w:sdtContent>
      <w:p w:rsidR="00027243" w:rsidRDefault="000272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7F7">
          <w:rPr>
            <w:noProof/>
          </w:rPr>
          <w:t>2</w:t>
        </w:r>
        <w:r>
          <w:fldChar w:fldCharType="end"/>
        </w:r>
      </w:p>
    </w:sdtContent>
  </w:sdt>
  <w:p w:rsidR="00027243" w:rsidRDefault="000272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A5065"/>
    <w:multiLevelType w:val="hybridMultilevel"/>
    <w:tmpl w:val="D382D5C0"/>
    <w:lvl w:ilvl="0" w:tplc="DDA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66AE6">
      <w:start w:val="65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23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08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2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CC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2B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063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40B1C51"/>
    <w:multiLevelType w:val="hybridMultilevel"/>
    <w:tmpl w:val="89F2813C"/>
    <w:lvl w:ilvl="0" w:tplc="738E7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B2"/>
    <w:rsid w:val="00027243"/>
    <w:rsid w:val="00752B53"/>
    <w:rsid w:val="007C0ECA"/>
    <w:rsid w:val="0084574D"/>
    <w:rsid w:val="008737F7"/>
    <w:rsid w:val="00976F49"/>
    <w:rsid w:val="00B504B2"/>
    <w:rsid w:val="00BF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autoRedefine/>
    <w:qFormat/>
    <w:rsid w:val="00BF0BFE"/>
    <w:pPr>
      <w:spacing w:before="120" w:after="0" w:line="360" w:lineRule="auto"/>
      <w:ind w:firstLine="709"/>
    </w:pPr>
    <w:rPr>
      <w:rFonts w:eastAsia="Times New Roman"/>
      <w:lang w:eastAsia="ru-RU"/>
    </w:rPr>
  </w:style>
  <w:style w:type="character" w:customStyle="1" w:styleId="10">
    <w:name w:val="Стиль1 Знак"/>
    <w:basedOn w:val="a0"/>
    <w:link w:val="1"/>
    <w:rsid w:val="00BF0BFE"/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02724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027243"/>
  </w:style>
  <w:style w:type="paragraph" w:styleId="a5">
    <w:name w:val="footer"/>
    <w:basedOn w:val="a"/>
    <w:link w:val="a6"/>
    <w:uiPriority w:val="99"/>
    <w:unhideWhenUsed/>
    <w:rsid w:val="0002724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272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autoRedefine/>
    <w:qFormat/>
    <w:rsid w:val="00BF0BFE"/>
    <w:pPr>
      <w:spacing w:before="120" w:after="0" w:line="360" w:lineRule="auto"/>
      <w:ind w:firstLine="709"/>
    </w:pPr>
    <w:rPr>
      <w:rFonts w:eastAsia="Times New Roman"/>
      <w:lang w:eastAsia="ru-RU"/>
    </w:rPr>
  </w:style>
  <w:style w:type="character" w:customStyle="1" w:styleId="10">
    <w:name w:val="Стиль1 Знак"/>
    <w:basedOn w:val="a0"/>
    <w:link w:val="1"/>
    <w:rsid w:val="00BF0BFE"/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02724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027243"/>
  </w:style>
  <w:style w:type="paragraph" w:styleId="a5">
    <w:name w:val="footer"/>
    <w:basedOn w:val="a"/>
    <w:link w:val="a6"/>
    <w:uiPriority w:val="99"/>
    <w:unhideWhenUsed/>
    <w:rsid w:val="0002724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027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79A88-0CAA-4B8F-B946-AF723BB0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Жевнов Евгений Павлович</dc:creator>
  <cp:lastModifiedBy>Рожкова Марина Анатольевна</cp:lastModifiedBy>
  <cp:revision>2</cp:revision>
  <dcterms:created xsi:type="dcterms:W3CDTF">2017-05-04T04:00:00Z</dcterms:created>
  <dcterms:modified xsi:type="dcterms:W3CDTF">2017-05-04T04:00:00Z</dcterms:modified>
</cp:coreProperties>
</file>